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94" w:rsidRDefault="00326994" w:rsidP="00326994">
      <w:pPr>
        <w:widowControl/>
        <w:adjustRightInd w:val="0"/>
        <w:snapToGrid w:val="0"/>
        <w:spacing w:line="360" w:lineRule="auto"/>
        <w:ind w:right="-334"/>
        <w:rPr>
          <w:rFonts w:ascii="微软雅黑" w:eastAsia="微软雅黑" w:hAnsi="微软雅黑" w:cs="宋体" w:hint="eastAsia"/>
          <w:color w:val="666666"/>
          <w:kern w:val="0"/>
          <w:sz w:val="23"/>
          <w:szCs w:val="23"/>
        </w:rPr>
      </w:pPr>
    </w:p>
    <w:p w:rsidR="00326994" w:rsidRDefault="00326994" w:rsidP="00326994">
      <w:pPr>
        <w:pStyle w:val="a6"/>
        <w:ind w:firstLineChars="0" w:firstLine="0"/>
        <w:rPr>
          <w:rFonts w:ascii="黑体" w:eastAsia="黑体" w:hAnsi="黑体" w:hint="eastAsia"/>
          <w:spacing w:val="52"/>
          <w:szCs w:val="36"/>
        </w:rPr>
      </w:pPr>
    </w:p>
    <w:p w:rsidR="00326994" w:rsidRPr="0083563B" w:rsidRDefault="00326994" w:rsidP="00326994">
      <w:pPr>
        <w:pStyle w:val="a6"/>
        <w:ind w:firstLineChars="0" w:firstLine="0"/>
        <w:rPr>
          <w:rFonts w:ascii="黑体" w:eastAsia="黑体" w:hAnsi="黑体" w:hint="eastAsia"/>
          <w:spacing w:val="52"/>
          <w:szCs w:val="36"/>
        </w:rPr>
      </w:pPr>
      <w:bookmarkStart w:id="0" w:name="_Toc444687622"/>
      <w:r w:rsidRPr="0083563B">
        <w:rPr>
          <w:rFonts w:ascii="黑体" w:eastAsia="黑体" w:hAnsi="黑体"/>
          <w:spacing w:val="52"/>
          <w:szCs w:val="36"/>
        </w:rPr>
        <w:t>高等职业院校内部质量</w:t>
      </w:r>
      <w:r w:rsidRPr="0083563B">
        <w:rPr>
          <w:rFonts w:ascii="黑体" w:eastAsia="黑体" w:hAnsi="黑体" w:hint="eastAsia"/>
          <w:spacing w:val="52"/>
          <w:szCs w:val="36"/>
        </w:rPr>
        <w:t>保证体系诊断与改进指导</w:t>
      </w:r>
      <w:r w:rsidRPr="0083563B">
        <w:rPr>
          <w:rFonts w:ascii="黑体" w:eastAsia="黑体" w:hAnsi="黑体"/>
          <w:spacing w:val="52"/>
          <w:szCs w:val="36"/>
        </w:rPr>
        <w:t>方案</w:t>
      </w:r>
      <w:r w:rsidRPr="0083563B">
        <w:rPr>
          <w:rFonts w:ascii="黑体" w:eastAsia="黑体" w:hAnsi="黑体" w:hint="eastAsia"/>
          <w:spacing w:val="52"/>
          <w:szCs w:val="36"/>
        </w:rPr>
        <w:t>（试行）</w:t>
      </w:r>
      <w:bookmarkEnd w:id="0"/>
    </w:p>
    <w:p w:rsidR="00326994" w:rsidRPr="0083563B" w:rsidRDefault="00326994" w:rsidP="00326994">
      <w:pPr>
        <w:widowControl/>
        <w:shd w:val="clear" w:color="auto" w:fill="FFFFFF"/>
        <w:spacing w:line="480" w:lineRule="auto"/>
        <w:ind w:firstLineChars="200" w:firstLine="480"/>
        <w:jc w:val="center"/>
        <w:rPr>
          <w:rFonts w:ascii="宋体" w:hAnsi="宋体" w:cs="宋体" w:hint="eastAsia"/>
          <w:color w:val="000000"/>
          <w:kern w:val="0"/>
          <w:sz w:val="24"/>
        </w:rPr>
      </w:pPr>
      <w:r w:rsidRPr="0083563B">
        <w:rPr>
          <w:rFonts w:ascii="宋体" w:hAnsi="宋体" w:cs="宋体" w:hint="eastAsia"/>
          <w:color w:val="000000"/>
          <w:kern w:val="0"/>
          <w:sz w:val="24"/>
        </w:rPr>
        <w:t>教职成司函[2015]168号</w:t>
      </w:r>
    </w:p>
    <w:p w:rsidR="00326994" w:rsidRPr="0083563B" w:rsidRDefault="00326994" w:rsidP="00326994">
      <w:pPr>
        <w:snapToGrid w:val="0"/>
        <w:spacing w:line="240" w:lineRule="atLeast"/>
        <w:jc w:val="center"/>
        <w:rPr>
          <w:rFonts w:ascii="仿宋_GB2312" w:eastAsia="仿宋_GB2312" w:hAnsi="黑体" w:hint="eastAsia"/>
          <w:color w:val="000000"/>
          <w:sz w:val="44"/>
          <w:szCs w:val="44"/>
        </w:rPr>
      </w:pP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bookmarkStart w:id="1" w:name="_Toc367634436"/>
      <w:bookmarkStart w:id="2" w:name="_Toc367635261"/>
      <w:bookmarkStart w:id="3" w:name="_Toc385279503"/>
      <w:bookmarkStart w:id="4" w:name="_Toc398651782"/>
      <w:r w:rsidRPr="0083563B">
        <w:rPr>
          <w:rFonts w:ascii="宋体" w:hAnsi="宋体" w:cs="宋体" w:hint="eastAsia"/>
          <w:color w:val="000000"/>
          <w:kern w:val="0"/>
          <w:sz w:val="24"/>
        </w:rPr>
        <w:t>为推动高等职业院校（简称高职院校）建立常态化自主保证人才培养质量的机制，引导和促进高职院校不断完善内部质量保证体系建设、提升内部质量保证工作成效，持续提高人才培养质量，制定本指导方案。</w:t>
      </w:r>
    </w:p>
    <w:p w:rsidR="00326994" w:rsidRPr="00065637" w:rsidRDefault="00326994" w:rsidP="00326994">
      <w:pPr>
        <w:pStyle w:val="p0"/>
        <w:adjustRightInd w:val="0"/>
        <w:snapToGrid w:val="0"/>
        <w:spacing w:before="0" w:beforeAutospacing="0" w:after="0" w:afterAutospacing="0" w:line="288" w:lineRule="auto"/>
        <w:ind w:firstLineChars="200" w:firstLine="640"/>
        <w:rPr>
          <w:rFonts w:ascii="仿宋_GB2312" w:eastAsia="仿宋_GB2312" w:hAnsi="Times New Roman" w:cs="Times New Roman" w:hint="eastAsia"/>
          <w:b/>
          <w:color w:val="000000"/>
          <w:sz w:val="32"/>
          <w:szCs w:val="32"/>
        </w:rPr>
      </w:pPr>
      <w:r w:rsidRPr="00065637">
        <w:rPr>
          <w:rFonts w:ascii="仿宋_GB2312" w:eastAsia="仿宋_GB2312" w:hAnsi="Times New Roman" w:hint="eastAsia"/>
          <w:b/>
          <w:color w:val="000000"/>
          <w:sz w:val="32"/>
          <w:szCs w:val="32"/>
        </w:rPr>
        <w:t>一、</w:t>
      </w:r>
      <w:bookmarkStart w:id="5" w:name="_Toc367634440"/>
      <w:bookmarkStart w:id="6" w:name="_Toc367635265"/>
      <w:bookmarkStart w:id="7" w:name="_Toc385279507"/>
      <w:bookmarkStart w:id="8" w:name="_Toc398651786"/>
      <w:r w:rsidRPr="00065637">
        <w:rPr>
          <w:rFonts w:ascii="仿宋_GB2312" w:eastAsia="仿宋_GB2312" w:hAnsi="Times New Roman" w:hint="eastAsia"/>
          <w:b/>
          <w:color w:val="000000"/>
          <w:sz w:val="32"/>
          <w:szCs w:val="32"/>
        </w:rPr>
        <w:t>指导思想</w:t>
      </w:r>
      <w:bookmarkStart w:id="9" w:name="_Toc367634441"/>
      <w:bookmarkStart w:id="10" w:name="_Toc367635266"/>
      <w:bookmarkStart w:id="11" w:name="_Toc385279508"/>
      <w:bookmarkStart w:id="12" w:name="_Toc398651787"/>
      <w:bookmarkStart w:id="13" w:name="_Toc367634442"/>
      <w:bookmarkStart w:id="14" w:name="_Toc367635267"/>
      <w:bookmarkStart w:id="15" w:name="_Toc385279509"/>
      <w:bookmarkStart w:id="16" w:name="_Toc398651788"/>
      <w:bookmarkEnd w:id="5"/>
      <w:bookmarkEnd w:id="6"/>
      <w:bookmarkEnd w:id="7"/>
      <w:bookmarkEnd w:id="8"/>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以《国务院关于加快发展现代职业教育的决定》精神为指导，以完善质量标准和制度、提高利益相关方对人才培养工作的满意度为目标，按照“需求导向、自我保证，多元诊断、重在改进”的工作方针，引导高职院校切实履行人才培养工作质量保证主体的责任，建立常态化的内部质量保证体系和可持续的诊断与改进工作机制，不断提高人才培养质量。</w:t>
      </w:r>
      <w:bookmarkEnd w:id="9"/>
      <w:bookmarkEnd w:id="10"/>
      <w:bookmarkEnd w:id="11"/>
      <w:bookmarkEnd w:id="12"/>
      <w:bookmarkEnd w:id="13"/>
      <w:bookmarkEnd w:id="14"/>
      <w:bookmarkEnd w:id="15"/>
      <w:bookmarkEnd w:id="16"/>
    </w:p>
    <w:p w:rsidR="00326994" w:rsidRPr="00065637" w:rsidRDefault="00326994" w:rsidP="00326994">
      <w:pPr>
        <w:pStyle w:val="p0"/>
        <w:adjustRightInd w:val="0"/>
        <w:snapToGrid w:val="0"/>
        <w:spacing w:before="0" w:beforeAutospacing="0" w:after="0" w:afterAutospacing="0" w:line="288" w:lineRule="auto"/>
        <w:ind w:firstLineChars="200" w:firstLine="640"/>
        <w:rPr>
          <w:rFonts w:ascii="仿宋_GB2312" w:eastAsia="仿宋_GB2312" w:hAnsi="Times New Roman" w:hint="eastAsia"/>
          <w:b/>
          <w:color w:val="000000"/>
          <w:sz w:val="32"/>
          <w:szCs w:val="32"/>
        </w:rPr>
      </w:pPr>
      <w:bookmarkStart w:id="17" w:name="_Toc367634445"/>
      <w:bookmarkStart w:id="18" w:name="_Toc367635270"/>
      <w:bookmarkStart w:id="19" w:name="_Toc385279512"/>
      <w:bookmarkStart w:id="20" w:name="_Toc398651791"/>
      <w:bookmarkEnd w:id="1"/>
      <w:bookmarkEnd w:id="2"/>
      <w:bookmarkEnd w:id="3"/>
      <w:bookmarkEnd w:id="4"/>
      <w:r w:rsidRPr="00065637">
        <w:rPr>
          <w:rFonts w:ascii="仿宋_GB2312" w:eastAsia="仿宋_GB2312" w:hAnsi="Times New Roman" w:hint="eastAsia"/>
          <w:b/>
          <w:color w:val="000000"/>
          <w:sz w:val="32"/>
          <w:szCs w:val="32"/>
        </w:rPr>
        <w:t>二、目标任务</w:t>
      </w:r>
      <w:bookmarkStart w:id="21" w:name="_Toc367634446"/>
      <w:bookmarkStart w:id="22" w:name="_Toc367635271"/>
      <w:bookmarkEnd w:id="17"/>
      <w:bookmarkEnd w:id="18"/>
      <w:bookmarkEnd w:id="19"/>
      <w:bookmarkEnd w:id="20"/>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bookmarkStart w:id="23" w:name="_Toc367634449"/>
      <w:bookmarkStart w:id="24" w:name="_Toc367635274"/>
      <w:bookmarkStart w:id="25" w:name="_Toc385279513"/>
      <w:bookmarkStart w:id="26" w:name="_Toc398651792"/>
      <w:r w:rsidRPr="0083563B">
        <w:rPr>
          <w:rFonts w:ascii="宋体" w:hAnsi="宋体" w:cs="宋体" w:hint="eastAsia"/>
          <w:color w:val="000000"/>
          <w:kern w:val="0"/>
          <w:sz w:val="24"/>
        </w:rPr>
        <w:t>建立基于高职院校人才培养工作状态数据、学校自主诊改、省级教育行政部门根据需要抽样复核的工作机制，促进高职院校在建立教学工作诊断与改进制度基础上，构建网络化、全覆盖、具有较强预警功能和激励作用的内部质量保证体系，实现教学管理水平和人才培养质量的持续提升。具体任务是：</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lastRenderedPageBreak/>
        <w:t>（一）</w:t>
      </w:r>
      <w:bookmarkEnd w:id="25"/>
      <w:bookmarkEnd w:id="26"/>
      <w:r w:rsidRPr="0083563B">
        <w:rPr>
          <w:rFonts w:ascii="宋体" w:hAnsi="宋体" w:cs="宋体" w:hint="eastAsia"/>
          <w:color w:val="000000"/>
          <w:kern w:val="0"/>
          <w:sz w:val="24"/>
        </w:rPr>
        <w:t>完善高职院校内部质量保证体系。以诊断与改进为手段，促使高职院校在学校、专业、课程、教师、学生不同层面建立起完整且相对独立的自我质量保证机制，强化学校各层级管理系统间的质量依存关系，形成全要素网络化的内部质量保证体系。</w:t>
      </w:r>
      <w:bookmarkStart w:id="27" w:name="_Toc385279514"/>
      <w:bookmarkStart w:id="28" w:name="_Toc398651793"/>
      <w:bookmarkEnd w:id="23"/>
      <w:bookmarkEnd w:id="24"/>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二）提升教育教学管理信息化水平。强化人才培养工作状态数据在诊改工作的基础作用，促进高职院校进一步加强人才培养工作状态数据管理系统的建设与应用，完善预警功能，提升学校教学运行管理信息化水平，为教育行政部门决策提供参考。</w:t>
      </w:r>
      <w:bookmarkStart w:id="29" w:name="_Toc367634448"/>
      <w:bookmarkStart w:id="30" w:name="_Toc367635273"/>
      <w:bookmarkStart w:id="31" w:name="_Toc385279516"/>
      <w:bookmarkStart w:id="32" w:name="_Toc398651795"/>
      <w:bookmarkEnd w:id="21"/>
      <w:bookmarkEnd w:id="22"/>
      <w:bookmarkEnd w:id="27"/>
      <w:bookmarkEnd w:id="28"/>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（三）树立现代质量文化。通过开展高等职业院校内部质量保证体系诊改，引导高职院校提升质量意识，建立完善质量标准体系、不断提升标准内涵，促进全员全过程全方位育人。</w:t>
      </w:r>
      <w:bookmarkStart w:id="33" w:name="_Toc367634450"/>
      <w:bookmarkStart w:id="34" w:name="_Toc367635275"/>
      <w:bookmarkStart w:id="35" w:name="_Toc385279517"/>
      <w:bookmarkStart w:id="36" w:name="_Toc398651796"/>
      <w:bookmarkEnd w:id="29"/>
      <w:bookmarkEnd w:id="30"/>
      <w:bookmarkEnd w:id="31"/>
      <w:bookmarkEnd w:id="32"/>
    </w:p>
    <w:p w:rsidR="00326994" w:rsidRPr="00065637" w:rsidRDefault="00326994" w:rsidP="00326994">
      <w:pPr>
        <w:pStyle w:val="p0"/>
        <w:adjustRightInd w:val="0"/>
        <w:snapToGrid w:val="0"/>
        <w:spacing w:before="0" w:beforeAutospacing="0" w:after="0" w:afterAutospacing="0" w:line="288" w:lineRule="auto"/>
        <w:ind w:firstLineChars="200" w:firstLine="640"/>
        <w:rPr>
          <w:rFonts w:ascii="仿宋_GB2312" w:eastAsia="仿宋_GB2312" w:hAnsi="Times New Roman" w:hint="eastAsia"/>
          <w:b/>
          <w:color w:val="000000"/>
          <w:sz w:val="32"/>
          <w:szCs w:val="32"/>
        </w:rPr>
      </w:pPr>
      <w:r w:rsidRPr="00065637">
        <w:rPr>
          <w:rFonts w:ascii="仿宋_GB2312" w:eastAsia="仿宋_GB2312" w:hAnsi="Times New Roman" w:hint="eastAsia"/>
          <w:b/>
          <w:color w:val="000000"/>
          <w:sz w:val="32"/>
          <w:szCs w:val="32"/>
        </w:rPr>
        <w:t>三、基本原则</w:t>
      </w:r>
      <w:bookmarkStart w:id="37" w:name="_Toc367634451"/>
      <w:bookmarkStart w:id="38" w:name="_Toc367635276"/>
      <w:bookmarkStart w:id="39" w:name="_Toc385279518"/>
      <w:bookmarkStart w:id="40" w:name="_Toc398651797"/>
      <w:bookmarkStart w:id="41" w:name="_Toc367634452"/>
      <w:bookmarkStart w:id="42" w:name="_Toc367635277"/>
      <w:bookmarkStart w:id="43" w:name="_Toc385279519"/>
      <w:bookmarkStart w:id="44" w:name="_Toc398651798"/>
      <w:bookmarkEnd w:id="33"/>
      <w:bookmarkEnd w:id="34"/>
      <w:bookmarkEnd w:id="35"/>
      <w:bookmarkEnd w:id="36"/>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bookmarkStart w:id="45" w:name="_Toc367634454"/>
      <w:bookmarkStart w:id="46" w:name="_Toc367635279"/>
      <w:bookmarkStart w:id="47" w:name="_Toc385279521"/>
      <w:bookmarkStart w:id="48" w:name="_Toc398651800"/>
      <w:r w:rsidRPr="0083563B">
        <w:rPr>
          <w:rFonts w:ascii="宋体" w:hAnsi="宋体" w:cs="宋体" w:hint="eastAsia"/>
          <w:color w:val="000000"/>
          <w:kern w:val="0"/>
          <w:sz w:val="24"/>
        </w:rPr>
        <w:t>（一）数据分析与</w:t>
      </w:r>
      <w:bookmarkEnd w:id="45"/>
      <w:bookmarkEnd w:id="46"/>
      <w:bookmarkEnd w:id="47"/>
      <w:bookmarkEnd w:id="48"/>
      <w:r w:rsidRPr="0083563B">
        <w:rPr>
          <w:rFonts w:ascii="宋体" w:hAnsi="宋体" w:cs="宋体" w:hint="eastAsia"/>
          <w:color w:val="000000"/>
          <w:kern w:val="0"/>
          <w:sz w:val="24"/>
        </w:rPr>
        <w:t>实际调研相结合。诊改工作主要基于对学校人才培养工作状态数据的分析，辅以灵活有效的实际调查研究。</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（二）坚持标准与注重特色相结合。省级教育行政部门可在本方案基础上，依据实际情况调整补充形成省级执行方案。学校可在省级方案基础上，补充有利于个性化发展的诊改内容。</w:t>
      </w:r>
      <w:bookmarkStart w:id="49" w:name="_Toc367634453"/>
      <w:bookmarkStart w:id="50" w:name="_Toc367635278"/>
      <w:bookmarkStart w:id="51" w:name="_Toc385279520"/>
      <w:bookmarkStart w:id="52" w:name="_Toc398651799"/>
    </w:p>
    <w:bookmarkEnd w:id="49"/>
    <w:bookmarkEnd w:id="50"/>
    <w:bookmarkEnd w:id="51"/>
    <w:bookmarkEnd w:id="52"/>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（三）自主诊改与抽样复核相结合。以高职院校自主诊改为基础，教育行政部门根据需要对学校进行抽样复核。</w:t>
      </w:r>
    </w:p>
    <w:p w:rsidR="00326994" w:rsidRPr="00065637" w:rsidRDefault="00326994" w:rsidP="00326994">
      <w:pPr>
        <w:pStyle w:val="p0"/>
        <w:adjustRightInd w:val="0"/>
        <w:snapToGrid w:val="0"/>
        <w:spacing w:before="0" w:beforeAutospacing="0" w:after="0" w:afterAutospacing="0" w:line="288" w:lineRule="auto"/>
        <w:ind w:firstLineChars="200" w:firstLine="640"/>
        <w:rPr>
          <w:rFonts w:ascii="仿宋_GB2312" w:eastAsia="仿宋_GB2312" w:hAnsi="Times New Roman" w:hint="eastAsia"/>
          <w:b/>
          <w:color w:val="000000"/>
          <w:sz w:val="32"/>
          <w:szCs w:val="32"/>
        </w:rPr>
      </w:pPr>
      <w:bookmarkStart w:id="53" w:name="_Toc367634457"/>
      <w:bookmarkStart w:id="54" w:name="_Toc367635282"/>
      <w:bookmarkStart w:id="55" w:name="_Toc385279524"/>
      <w:bookmarkStart w:id="56" w:name="_Toc398651803"/>
      <w:bookmarkEnd w:id="37"/>
      <w:bookmarkEnd w:id="38"/>
      <w:bookmarkEnd w:id="39"/>
      <w:bookmarkEnd w:id="40"/>
      <w:bookmarkEnd w:id="41"/>
      <w:bookmarkEnd w:id="42"/>
      <w:bookmarkEnd w:id="43"/>
      <w:bookmarkEnd w:id="44"/>
      <w:r w:rsidRPr="00065637">
        <w:rPr>
          <w:rFonts w:ascii="仿宋_GB2312" w:eastAsia="仿宋_GB2312" w:hAnsi="Times New Roman" w:hint="eastAsia"/>
          <w:b/>
          <w:color w:val="000000"/>
          <w:sz w:val="32"/>
          <w:szCs w:val="32"/>
        </w:rPr>
        <w:t>四、</w:t>
      </w:r>
      <w:bookmarkEnd w:id="53"/>
      <w:bookmarkEnd w:id="54"/>
      <w:bookmarkEnd w:id="55"/>
      <w:bookmarkEnd w:id="56"/>
      <w:r w:rsidRPr="00065637">
        <w:rPr>
          <w:rFonts w:ascii="仿宋_GB2312" w:eastAsia="仿宋_GB2312" w:hAnsi="Times New Roman" w:hint="eastAsia"/>
          <w:b/>
          <w:color w:val="000000"/>
          <w:sz w:val="32"/>
          <w:szCs w:val="32"/>
        </w:rPr>
        <w:t>诊改与复核</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（一）诊改对象与复核抽样</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bookmarkStart w:id="57" w:name="_Toc367634458"/>
      <w:bookmarkStart w:id="58" w:name="_Toc367635283"/>
      <w:bookmarkStart w:id="59" w:name="_Toc385279525"/>
      <w:bookmarkStart w:id="60" w:name="_Toc398651804"/>
      <w:r w:rsidRPr="0083563B">
        <w:rPr>
          <w:rFonts w:ascii="宋体" w:hAnsi="宋体" w:cs="宋体" w:hint="eastAsia"/>
          <w:color w:val="000000"/>
          <w:kern w:val="0"/>
          <w:sz w:val="24"/>
        </w:rPr>
        <w:t>1.独立设置的高职院校应每3年至少完成一次质量保证体系诊改工作。新建高职院校可按照省级教育行政部门规定执行。</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bookmarkStart w:id="61" w:name="_Toc367634459"/>
      <w:bookmarkStart w:id="62" w:name="_Toc367635284"/>
      <w:bookmarkStart w:id="63" w:name="_Toc385279526"/>
      <w:bookmarkStart w:id="64" w:name="_Toc398651805"/>
      <w:bookmarkEnd w:id="57"/>
      <w:bookmarkEnd w:id="58"/>
      <w:bookmarkEnd w:id="59"/>
      <w:bookmarkEnd w:id="60"/>
      <w:r w:rsidRPr="0083563B">
        <w:rPr>
          <w:rFonts w:ascii="宋体" w:hAnsi="宋体" w:cs="宋体" w:hint="eastAsia"/>
          <w:color w:val="000000"/>
          <w:kern w:val="0"/>
          <w:sz w:val="24"/>
        </w:rPr>
        <w:lastRenderedPageBreak/>
        <w:t>2.</w:t>
      </w:r>
      <w:bookmarkEnd w:id="61"/>
      <w:bookmarkEnd w:id="62"/>
      <w:bookmarkEnd w:id="63"/>
      <w:bookmarkEnd w:id="64"/>
      <w:r w:rsidRPr="0083563B">
        <w:rPr>
          <w:rFonts w:ascii="宋体" w:hAnsi="宋体" w:cs="宋体" w:hint="eastAsia"/>
          <w:color w:val="000000"/>
          <w:kern w:val="0"/>
          <w:sz w:val="24"/>
        </w:rPr>
        <w:t>省级教育行政部门在学校自主诊改基础上，每3年抽样复核的学校数不应少于总数的1/4。</w:t>
      </w:r>
      <w:bookmarkStart w:id="65" w:name="_Toc367634461"/>
      <w:bookmarkStart w:id="66" w:name="_Toc367635286"/>
      <w:bookmarkStart w:id="67" w:name="_Toc385279528"/>
      <w:bookmarkStart w:id="68" w:name="_Toc398651807"/>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（二）基本程序</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1．自主诊改。高职院校应根据省级诊改工作实施方案，依据高等职业院校人才培养工作状态数据采集与管理平台数据，对内部质量保证体系运行情况及效果定期进行自主诊改，并将自主诊改情况写入本校质量年度报告。学校自主诊改可以安排校内人员实施，也可自主聘请校外专家参加。</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2．抽样复核。复核工作的主要目的在于检验学校自主诊改工作的有效程度。省级教育行政部门负责组织抽样复核。被列入复核的学校应提交以下材料：</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（1）学校的《内部质量保证体系自我诊改报告》（格式参见附件2）。</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（2）近2年学校的《人才培养质量年度报告》。</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（3）近2年学校的《人才培养工作状态数据分析报告》。</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（4）近2年学校、校内职能部门、院（系）的年度自我诊改报告。</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（5）学校事业发展规划、内部质量保证体系建设规划及其他子规划。</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（6）学校所在地区的区域经济社会事业发展规划。</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具体报送要求由省级教育行政部门确定，报送材料应于复核工作开始前30日在校园网上公示。</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bookmarkStart w:id="69" w:name="_Toc367634462"/>
      <w:bookmarkStart w:id="70" w:name="_Toc367635287"/>
      <w:bookmarkStart w:id="71" w:name="_Toc385279529"/>
      <w:bookmarkStart w:id="72" w:name="_Toc398651808"/>
      <w:bookmarkEnd w:id="65"/>
      <w:bookmarkEnd w:id="66"/>
      <w:bookmarkEnd w:id="67"/>
      <w:bookmarkEnd w:id="68"/>
      <w:r w:rsidRPr="0083563B">
        <w:rPr>
          <w:rFonts w:ascii="宋体" w:hAnsi="宋体" w:cs="宋体" w:hint="eastAsia"/>
          <w:color w:val="000000"/>
          <w:kern w:val="0"/>
          <w:sz w:val="24"/>
        </w:rPr>
        <w:t>（三）结论</w:t>
      </w:r>
      <w:bookmarkEnd w:id="69"/>
      <w:bookmarkEnd w:id="70"/>
      <w:bookmarkEnd w:id="71"/>
      <w:bookmarkEnd w:id="72"/>
      <w:r w:rsidRPr="0083563B">
        <w:rPr>
          <w:rFonts w:ascii="宋体" w:hAnsi="宋体" w:cs="宋体" w:hint="eastAsia"/>
          <w:color w:val="000000"/>
          <w:kern w:val="0"/>
          <w:sz w:val="24"/>
        </w:rPr>
        <w:t>与使用</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复核结论反映院校自主诊断结果、改进措施与专家复核结果的符合程度。高等职业院校内部质量保证体系诊断项目参考表中，诊断要素共15项。复核结论分为“有效”“异常”“待改进”三种，标准如下：</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lastRenderedPageBreak/>
        <w:t>有效——15项诊断要素中，自主诊断结果与复核结果相符≥12项；改进措施针对性强、切实可行、成效明显。</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异常——15项诊断要素中，自主诊断结果与复核结果相符＜10项；改进措施针对性不强、力度不够。</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待改进——上述标准以外的其他情况。</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如执行方案对诊断要素有调整，可根据实际诊断要素数量，按上述比例原则，确定相应标准。</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“待改进”和“异常”的学校改进期为1年，改进期满后须重新提出复核申请，再次复核结论为“有效”的，同一周期内可不再接受复核。</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复核结论为“异常”和连续2次“待改进”的学校，省级教育行政部门须对其采取削减招生计划、暂停备案新专业、限制项目审报等限制措施。</w:t>
      </w:r>
      <w:bookmarkStart w:id="73" w:name="_Toc367634463"/>
      <w:bookmarkStart w:id="74" w:name="_Toc367635288"/>
      <w:bookmarkStart w:id="75" w:name="_Toc385279530"/>
      <w:bookmarkStart w:id="76" w:name="_Toc398651809"/>
    </w:p>
    <w:p w:rsidR="00326994" w:rsidRPr="00C514C3" w:rsidRDefault="00326994" w:rsidP="00326994">
      <w:pPr>
        <w:pStyle w:val="p0"/>
        <w:adjustRightInd w:val="0"/>
        <w:snapToGrid w:val="0"/>
        <w:spacing w:before="0" w:beforeAutospacing="0" w:after="0" w:afterAutospacing="0" w:line="288" w:lineRule="auto"/>
        <w:ind w:firstLineChars="196" w:firstLine="628"/>
        <w:rPr>
          <w:rFonts w:ascii="仿宋_GB2312" w:eastAsia="仿宋_GB2312" w:hint="eastAsia"/>
          <w:b/>
          <w:color w:val="000000"/>
          <w:sz w:val="32"/>
          <w:szCs w:val="32"/>
        </w:rPr>
      </w:pPr>
      <w:r w:rsidRPr="00C514C3">
        <w:rPr>
          <w:rFonts w:ascii="仿宋_GB2312" w:eastAsia="仿宋_GB2312" w:hAnsi="Times New Roman" w:hint="eastAsia"/>
          <w:b/>
          <w:color w:val="000000"/>
          <w:sz w:val="32"/>
          <w:szCs w:val="32"/>
        </w:rPr>
        <w:t>五、</w:t>
      </w:r>
      <w:bookmarkStart w:id="77" w:name="_Toc367634464"/>
      <w:bookmarkStart w:id="78" w:name="_Toc367635289"/>
      <w:bookmarkStart w:id="79" w:name="_Toc385279531"/>
      <w:bookmarkStart w:id="80" w:name="_Toc398651810"/>
      <w:bookmarkStart w:id="81" w:name="_Toc367634470"/>
      <w:bookmarkStart w:id="82" w:name="_Toc367635295"/>
      <w:bookmarkStart w:id="83" w:name="_Toc385279532"/>
      <w:bookmarkStart w:id="84" w:name="_Toc398651811"/>
      <w:bookmarkEnd w:id="73"/>
      <w:bookmarkEnd w:id="74"/>
      <w:bookmarkEnd w:id="75"/>
      <w:bookmarkEnd w:id="76"/>
      <w:r w:rsidRPr="00C514C3">
        <w:rPr>
          <w:rFonts w:ascii="仿宋_GB2312" w:eastAsia="仿宋_GB2312" w:hint="eastAsia"/>
          <w:b/>
          <w:color w:val="000000"/>
          <w:sz w:val="32"/>
          <w:szCs w:val="32"/>
        </w:rPr>
        <w:t>工作组织</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（一）教育部组建“职业院校教学工作诊断与改进专家委员会”（简称全国诊改专委会）负责诊改工作的业务指导。设立诊改工作网站，集中发布诊改工作的相关政策和信息。</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（二）省级教育行政部门应按照教育部总体要求，统筹规划本省（区、市）质量保证体系诊改工作，结合实际制订相应的执行方案和工作规划。</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三）省级教育行政部门可遴选熟悉高职教育、具有管理经验的高职院校专家、教育研究专家、行业企业专家等组成任期制的省级诊改专委会，负责本省诊改工作业务指导。省级教育行政部门可委托诊改专家委员会，探索建立诊改专家认证制度，建立动态的诊改专家库并规范专家管理。</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lastRenderedPageBreak/>
        <w:t>（四）省级教育行政部门应于年底前向社会公布本地区下一年度接受复核的院校名单。</w:t>
      </w:r>
      <w:r w:rsidRPr="0083563B" w:rsidDel="009C5ED6">
        <w:rPr>
          <w:rFonts w:ascii="宋体" w:hAnsi="宋体" w:cs="宋体" w:hint="eastAsia"/>
          <w:color w:val="000000"/>
          <w:kern w:val="0"/>
          <w:sz w:val="24"/>
        </w:rPr>
        <w:t xml:space="preserve"> </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（五）学校须根据复核工作报告制定整改方案，在规定的期限内完成整改任务。</w:t>
      </w:r>
    </w:p>
    <w:p w:rsidR="00326994" w:rsidRPr="00065637" w:rsidRDefault="00326994" w:rsidP="00326994">
      <w:pPr>
        <w:pStyle w:val="p0"/>
        <w:adjustRightInd w:val="0"/>
        <w:snapToGrid w:val="0"/>
        <w:spacing w:before="0" w:beforeAutospacing="0" w:after="0" w:afterAutospacing="0" w:line="288" w:lineRule="auto"/>
        <w:ind w:firstLineChars="200" w:firstLine="640"/>
        <w:rPr>
          <w:rFonts w:ascii="仿宋_GB2312" w:eastAsia="仿宋_GB2312" w:hAnsi="Times New Roman" w:hint="eastAsia"/>
          <w:b/>
          <w:color w:val="000000"/>
          <w:sz w:val="32"/>
          <w:szCs w:val="32"/>
        </w:rPr>
      </w:pPr>
      <w:bookmarkStart w:id="85" w:name="_Toc367634478"/>
      <w:bookmarkStart w:id="86" w:name="_Toc367635303"/>
      <w:bookmarkStart w:id="87" w:name="_Toc385279533"/>
      <w:bookmarkStart w:id="88" w:name="_Toc398651812"/>
      <w:bookmarkEnd w:id="77"/>
      <w:bookmarkEnd w:id="78"/>
      <w:bookmarkEnd w:id="79"/>
      <w:bookmarkEnd w:id="80"/>
      <w:bookmarkEnd w:id="81"/>
      <w:bookmarkEnd w:id="82"/>
      <w:bookmarkEnd w:id="83"/>
      <w:bookmarkEnd w:id="84"/>
      <w:r w:rsidRPr="00E874E4">
        <w:rPr>
          <w:rFonts w:ascii="仿宋_GB2312" w:eastAsia="仿宋_GB2312" w:hint="eastAsia"/>
          <w:b/>
          <w:color w:val="000000"/>
          <w:sz w:val="32"/>
          <w:szCs w:val="32"/>
        </w:rPr>
        <w:t>六</w:t>
      </w:r>
      <w:r w:rsidRPr="00E874E4">
        <w:rPr>
          <w:rFonts w:ascii="仿宋_GB2312" w:eastAsia="仿宋_GB2312" w:hAnsi="Times New Roman" w:hint="eastAsia"/>
          <w:b/>
          <w:color w:val="000000"/>
          <w:sz w:val="32"/>
          <w:szCs w:val="32"/>
        </w:rPr>
        <w:t>、</w:t>
      </w:r>
      <w:r w:rsidRPr="00065637">
        <w:rPr>
          <w:rFonts w:ascii="仿宋_GB2312" w:eastAsia="仿宋_GB2312" w:hAnsi="Times New Roman" w:hint="eastAsia"/>
          <w:b/>
          <w:color w:val="000000"/>
          <w:sz w:val="32"/>
          <w:szCs w:val="32"/>
        </w:rPr>
        <w:t>纪律</w:t>
      </w:r>
      <w:bookmarkEnd w:id="85"/>
      <w:bookmarkEnd w:id="86"/>
      <w:bookmarkEnd w:id="87"/>
      <w:bookmarkEnd w:id="88"/>
      <w:r w:rsidRPr="00065637">
        <w:rPr>
          <w:rFonts w:ascii="仿宋_GB2312" w:eastAsia="仿宋_GB2312" w:hAnsi="Times New Roman" w:hint="eastAsia"/>
          <w:b/>
          <w:color w:val="000000"/>
          <w:sz w:val="32"/>
          <w:szCs w:val="32"/>
        </w:rPr>
        <w:t>与监督</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各地要加强诊改工作的管理，严肃工作纪律，建立诊改工作信息公告制度。</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（一）各地要按照报备的实施方案开展高职院校内部质量保证体系诊改工作。如有调整，须及时报备。</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（二）复核工作不得影响学校正常教学秩序，并认真贯彻落实中央八项规定精神、教育部二十条要求及有关规定。</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（三）复核专家必须洁身自律，被确定为专家组成员后，不得接受邀请参加复核学校的诊改辅导、讲座等活动。如有违反，应予更换并及时公布。</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（四）省级教育行政部门须指定网站，将诊改相关政策文件、复核专家组名单、接受复核院校应公示的材料，以及复核结论、回访结果等集中公布，接受社会监督。</w:t>
      </w:r>
    </w:p>
    <w:p w:rsidR="00326994" w:rsidRPr="0083563B" w:rsidRDefault="00326994" w:rsidP="00326994">
      <w:pPr>
        <w:widowControl/>
        <w:shd w:val="clear" w:color="auto" w:fill="FFFFFF"/>
        <w:spacing w:line="480" w:lineRule="auto"/>
        <w:ind w:firstLineChars="200" w:firstLine="480"/>
        <w:jc w:val="left"/>
        <w:rPr>
          <w:rFonts w:ascii="宋体" w:hAnsi="宋体" w:cs="宋体" w:hint="eastAsia"/>
          <w:color w:val="000000"/>
          <w:kern w:val="0"/>
          <w:sz w:val="24"/>
        </w:rPr>
      </w:pPr>
      <w:r w:rsidRPr="0083563B">
        <w:rPr>
          <w:rFonts w:ascii="宋体" w:hAnsi="宋体" w:cs="宋体" w:hint="eastAsia"/>
          <w:color w:val="000000"/>
          <w:kern w:val="0"/>
          <w:sz w:val="24"/>
        </w:rPr>
        <w:t>（五）各地要严格复核专家管理，对违反纪律或社会反响差的专家，应从专家库中除名并在一定范围内公布。</w:t>
      </w:r>
      <w:bookmarkStart w:id="89" w:name="_Toc367634484"/>
      <w:bookmarkStart w:id="90" w:name="_Toc367635309"/>
      <w:bookmarkStart w:id="91" w:name="_Toc385279534"/>
      <w:bookmarkStart w:id="92" w:name="_Toc398651813"/>
    </w:p>
    <w:p w:rsidR="00326994" w:rsidRDefault="00326994" w:rsidP="00326994">
      <w:pPr>
        <w:pStyle w:val="p0"/>
        <w:adjustRightInd w:val="0"/>
        <w:snapToGrid w:val="0"/>
        <w:spacing w:before="0" w:beforeAutospacing="0" w:after="0" w:afterAutospacing="0" w:line="288" w:lineRule="auto"/>
        <w:ind w:leftChars="300" w:left="2070" w:hangingChars="450" w:hanging="1440"/>
        <w:rPr>
          <w:rFonts w:ascii="仿宋_GB2312" w:eastAsia="仿宋_GB2312" w:hAnsi="仿宋" w:cs="仿宋_GB2312" w:hint="eastAsia"/>
          <w:kern w:val="2"/>
          <w:sz w:val="32"/>
          <w:szCs w:val="32"/>
        </w:rPr>
      </w:pPr>
    </w:p>
    <w:p w:rsidR="00326994" w:rsidRDefault="00326994" w:rsidP="00326994">
      <w:pPr>
        <w:pStyle w:val="p0"/>
        <w:adjustRightInd w:val="0"/>
        <w:snapToGrid w:val="0"/>
        <w:spacing w:before="0" w:beforeAutospacing="0" w:after="0" w:afterAutospacing="0" w:line="288" w:lineRule="auto"/>
        <w:ind w:leftChars="300" w:left="2070" w:hangingChars="450" w:hanging="1440"/>
        <w:rPr>
          <w:rFonts w:ascii="仿宋_GB2312" w:eastAsia="仿宋_GB2312" w:hAnsi="仿宋" w:cs="仿宋_GB2312" w:hint="eastAsia"/>
          <w:kern w:val="2"/>
          <w:sz w:val="32"/>
          <w:szCs w:val="32"/>
        </w:rPr>
      </w:pPr>
      <w:r w:rsidRPr="00065637">
        <w:rPr>
          <w:rFonts w:ascii="仿宋_GB2312" w:eastAsia="仿宋_GB2312" w:hAnsi="仿宋" w:cs="仿宋_GB2312" w:hint="eastAsia"/>
          <w:kern w:val="2"/>
          <w:sz w:val="32"/>
          <w:szCs w:val="32"/>
        </w:rPr>
        <w:t>附：</w:t>
      </w:r>
      <w:bookmarkEnd w:id="89"/>
      <w:bookmarkEnd w:id="90"/>
      <w:bookmarkEnd w:id="91"/>
      <w:bookmarkEnd w:id="92"/>
      <w:r w:rsidRPr="00065637">
        <w:rPr>
          <w:rFonts w:ascii="仿宋_GB2312" w:eastAsia="仿宋_GB2312" w:hAnsi="仿宋" w:cs="仿宋_GB2312" w:hint="eastAsia"/>
          <w:kern w:val="2"/>
          <w:sz w:val="32"/>
          <w:szCs w:val="32"/>
        </w:rPr>
        <w:t>1．高等职业院校内部质量保证体系诊断项目参考表</w:t>
      </w:r>
    </w:p>
    <w:p w:rsidR="00326994" w:rsidRPr="00BB2A5D" w:rsidRDefault="00326994" w:rsidP="00326994">
      <w:pPr>
        <w:pStyle w:val="p0"/>
        <w:adjustRightInd w:val="0"/>
        <w:snapToGrid w:val="0"/>
        <w:spacing w:before="0" w:beforeAutospacing="0" w:after="0" w:afterAutospacing="0" w:line="288" w:lineRule="auto"/>
        <w:ind w:leftChars="650" w:left="1845" w:hangingChars="150" w:hanging="480"/>
        <w:rPr>
          <w:rFonts w:ascii="仿宋_GB2312" w:eastAsia="仿宋_GB2312" w:hAnsi="仿宋" w:cs="仿宋_GB2312" w:hint="eastAsia"/>
          <w:kern w:val="2"/>
          <w:sz w:val="32"/>
          <w:szCs w:val="32"/>
        </w:rPr>
        <w:sectPr w:rsidR="00326994" w:rsidRPr="00BB2A5D" w:rsidSect="00080611">
          <w:headerReference w:type="default" r:id="rId6"/>
          <w:footerReference w:type="even" r:id="rId7"/>
          <w:footerReference w:type="default" r:id="rId8"/>
          <w:pgSz w:w="11906" w:h="16838"/>
          <w:pgMar w:top="1418" w:right="1418" w:bottom="1418" w:left="1418" w:header="851" w:footer="992" w:gutter="0"/>
          <w:pgNumType w:start="0"/>
          <w:cols w:space="425"/>
          <w:titlePg/>
          <w:docGrid w:type="lines" w:linePitch="312"/>
        </w:sectPr>
      </w:pPr>
    </w:p>
    <w:p w:rsidR="00326994" w:rsidRDefault="00326994" w:rsidP="00326994">
      <w:pPr>
        <w:pStyle w:val="2"/>
        <w:ind w:firstLineChars="196" w:firstLine="472"/>
        <w:jc w:val="center"/>
        <w:rPr>
          <w:rFonts w:ascii="宋体" w:eastAsia="宋体" w:hAnsi="宋体" w:cs="宋体" w:hint="eastAsia"/>
          <w:color w:val="000000"/>
          <w:kern w:val="0"/>
          <w:sz w:val="24"/>
        </w:rPr>
      </w:pPr>
    </w:p>
    <w:p w:rsidR="00326994" w:rsidRDefault="00326994" w:rsidP="00326994">
      <w:pPr>
        <w:pStyle w:val="2"/>
        <w:ind w:firstLineChars="196" w:firstLine="472"/>
        <w:jc w:val="center"/>
        <w:rPr>
          <w:rFonts w:ascii="宋体" w:eastAsia="宋体" w:hAnsi="宋体" w:cs="宋体" w:hint="eastAsia"/>
          <w:color w:val="000000"/>
          <w:kern w:val="0"/>
          <w:sz w:val="24"/>
        </w:rPr>
      </w:pPr>
      <w:bookmarkStart w:id="93" w:name="_Toc444687623"/>
      <w:r w:rsidRPr="00713DD6">
        <w:rPr>
          <w:rFonts w:ascii="宋体" w:eastAsia="宋体" w:hAnsi="宋体" w:cs="宋体" w:hint="eastAsia"/>
          <w:color w:val="000000"/>
          <w:kern w:val="0"/>
          <w:sz w:val="24"/>
        </w:rPr>
        <w:t>附1</w:t>
      </w:r>
      <w:r>
        <w:rPr>
          <w:rFonts w:ascii="宋体" w:eastAsia="宋体" w:hAnsi="宋体" w:cs="宋体" w:hint="eastAsia"/>
          <w:color w:val="000000"/>
          <w:kern w:val="0"/>
          <w:sz w:val="24"/>
        </w:rPr>
        <w:t>:</w:t>
      </w:r>
      <w:r w:rsidRPr="00713DD6">
        <w:rPr>
          <w:rFonts w:ascii="宋体" w:eastAsia="宋体" w:hAnsi="宋体" w:cs="宋体" w:hint="eastAsia"/>
          <w:color w:val="000000"/>
          <w:kern w:val="0"/>
          <w:sz w:val="24"/>
        </w:rPr>
        <w:t>高职院校内部质量保证体系诊断项目参考表</w:t>
      </w:r>
      <w:bookmarkEnd w:id="93"/>
    </w:p>
    <w:p w:rsidR="00326994" w:rsidRPr="00713DD6" w:rsidRDefault="00326994" w:rsidP="00326994">
      <w:pPr>
        <w:rPr>
          <w:rFonts w:hint="eastAsia"/>
        </w:rPr>
      </w:pP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827"/>
        <w:gridCol w:w="1364"/>
        <w:gridCol w:w="4004"/>
        <w:gridCol w:w="2916"/>
      </w:tblGrid>
      <w:tr w:rsidR="00326994" w:rsidRPr="00713DD6" w:rsidTr="005E3EBC">
        <w:trPr>
          <w:jc w:val="center"/>
        </w:trPr>
        <w:tc>
          <w:tcPr>
            <w:tcW w:w="917" w:type="dxa"/>
            <w:shd w:val="clear" w:color="auto" w:fill="auto"/>
            <w:vAlign w:val="center"/>
          </w:tcPr>
          <w:p w:rsidR="00326994" w:rsidRPr="00713DD6" w:rsidRDefault="00326994" w:rsidP="005E3EBC">
            <w:pPr>
              <w:spacing w:line="360" w:lineRule="auto"/>
              <w:jc w:val="center"/>
              <w:rPr>
                <w:rFonts w:ascii="宋体" w:hAnsi="宋体" w:hint="eastAsia"/>
                <w:b/>
                <w:sz w:val="24"/>
              </w:rPr>
            </w:pPr>
            <w:r w:rsidRPr="00713DD6">
              <w:rPr>
                <w:rFonts w:ascii="宋体" w:hAnsi="宋体" w:hint="eastAsia"/>
                <w:b/>
                <w:sz w:val="24"/>
              </w:rPr>
              <w:t>诊断</w:t>
            </w:r>
          </w:p>
          <w:p w:rsidR="00326994" w:rsidRPr="00713DD6" w:rsidRDefault="00326994" w:rsidP="005E3EBC">
            <w:pPr>
              <w:spacing w:line="360" w:lineRule="auto"/>
              <w:jc w:val="center"/>
              <w:rPr>
                <w:rFonts w:ascii="宋体" w:hAnsi="宋体" w:hint="eastAsia"/>
                <w:b/>
                <w:sz w:val="24"/>
              </w:rPr>
            </w:pPr>
            <w:r w:rsidRPr="00713DD6">
              <w:rPr>
                <w:rFonts w:ascii="宋体" w:hAnsi="宋体" w:hint="eastAsia"/>
                <w:b/>
                <w:sz w:val="24"/>
              </w:rPr>
              <w:t>项目</w:t>
            </w:r>
          </w:p>
        </w:tc>
        <w:tc>
          <w:tcPr>
            <w:tcW w:w="877" w:type="dxa"/>
            <w:shd w:val="clear" w:color="auto" w:fill="auto"/>
            <w:vAlign w:val="center"/>
          </w:tcPr>
          <w:p w:rsidR="00326994" w:rsidRPr="00713DD6" w:rsidRDefault="00326994" w:rsidP="005E3EBC">
            <w:pPr>
              <w:spacing w:line="360" w:lineRule="auto"/>
              <w:jc w:val="center"/>
              <w:rPr>
                <w:rFonts w:ascii="宋体" w:hAnsi="宋体" w:hint="eastAsia"/>
                <w:b/>
                <w:sz w:val="24"/>
              </w:rPr>
            </w:pPr>
            <w:r w:rsidRPr="00713DD6">
              <w:rPr>
                <w:rFonts w:ascii="宋体" w:hAnsi="宋体" w:hint="eastAsia"/>
                <w:b/>
                <w:sz w:val="24"/>
              </w:rPr>
              <w:t>诊断</w:t>
            </w:r>
          </w:p>
          <w:p w:rsidR="00326994" w:rsidRPr="00713DD6" w:rsidRDefault="00326994" w:rsidP="005E3EBC">
            <w:pPr>
              <w:spacing w:line="360" w:lineRule="auto"/>
              <w:jc w:val="center"/>
              <w:rPr>
                <w:rFonts w:ascii="宋体" w:hAnsi="宋体" w:hint="eastAsia"/>
                <w:b/>
                <w:sz w:val="24"/>
              </w:rPr>
            </w:pPr>
            <w:r w:rsidRPr="00713DD6">
              <w:rPr>
                <w:rFonts w:ascii="宋体" w:hAnsi="宋体" w:hint="eastAsia"/>
                <w:b/>
                <w:sz w:val="24"/>
              </w:rPr>
              <w:t>要素</w:t>
            </w:r>
          </w:p>
        </w:tc>
        <w:tc>
          <w:tcPr>
            <w:tcW w:w="1498" w:type="dxa"/>
            <w:vAlign w:val="center"/>
          </w:tcPr>
          <w:p w:rsidR="00326994" w:rsidRPr="00713DD6" w:rsidRDefault="00326994" w:rsidP="005E3EBC">
            <w:pPr>
              <w:spacing w:line="360" w:lineRule="auto"/>
              <w:jc w:val="center"/>
              <w:rPr>
                <w:rFonts w:ascii="宋体" w:hAnsi="宋体" w:hint="eastAsia"/>
                <w:b/>
                <w:sz w:val="24"/>
              </w:rPr>
            </w:pPr>
            <w:r w:rsidRPr="00713DD6">
              <w:rPr>
                <w:rFonts w:ascii="宋体" w:hAnsi="宋体" w:hint="eastAsia"/>
                <w:b/>
                <w:sz w:val="24"/>
              </w:rPr>
              <w:t>诊断点</w:t>
            </w:r>
          </w:p>
        </w:tc>
        <w:tc>
          <w:tcPr>
            <w:tcW w:w="4593" w:type="dxa"/>
            <w:shd w:val="clear" w:color="auto" w:fill="auto"/>
            <w:vAlign w:val="center"/>
          </w:tcPr>
          <w:p w:rsidR="00326994" w:rsidRPr="00713DD6" w:rsidRDefault="00326994" w:rsidP="005E3EBC">
            <w:pPr>
              <w:spacing w:line="360" w:lineRule="auto"/>
              <w:jc w:val="center"/>
              <w:rPr>
                <w:rFonts w:ascii="宋体" w:hAnsi="宋体" w:hint="eastAsia"/>
                <w:b/>
                <w:color w:val="000000"/>
                <w:sz w:val="24"/>
              </w:rPr>
            </w:pPr>
            <w:r w:rsidRPr="00713DD6">
              <w:rPr>
                <w:rFonts w:ascii="宋体" w:hAnsi="宋体" w:hint="eastAsia"/>
                <w:b/>
                <w:color w:val="000000"/>
                <w:sz w:val="24"/>
              </w:rPr>
              <w:t>影响因素</w:t>
            </w:r>
          </w:p>
          <w:p w:rsidR="00326994" w:rsidRPr="00713DD6" w:rsidRDefault="00326994" w:rsidP="005E3EBC">
            <w:pPr>
              <w:spacing w:line="360" w:lineRule="auto"/>
              <w:jc w:val="center"/>
              <w:rPr>
                <w:rFonts w:ascii="宋体" w:hAnsi="宋体" w:hint="eastAsia"/>
                <w:b/>
                <w:color w:val="000000"/>
                <w:sz w:val="24"/>
              </w:rPr>
            </w:pPr>
            <w:r w:rsidRPr="00713DD6">
              <w:rPr>
                <w:rFonts w:ascii="宋体" w:hAnsi="宋体" w:hint="eastAsia"/>
                <w:b/>
                <w:color w:val="000000"/>
                <w:sz w:val="24"/>
              </w:rPr>
              <w:t>参考提示</w:t>
            </w:r>
          </w:p>
        </w:tc>
        <w:tc>
          <w:tcPr>
            <w:tcW w:w="2067" w:type="dxa"/>
            <w:shd w:val="clear" w:color="auto" w:fill="auto"/>
            <w:vAlign w:val="center"/>
          </w:tcPr>
          <w:p w:rsidR="00326994" w:rsidRPr="00713DD6" w:rsidRDefault="00326994" w:rsidP="005E3EBC">
            <w:pPr>
              <w:spacing w:line="360" w:lineRule="auto"/>
              <w:jc w:val="center"/>
              <w:rPr>
                <w:rFonts w:ascii="宋体" w:hAnsi="宋体" w:hint="eastAsia"/>
                <w:b/>
                <w:color w:val="000000"/>
                <w:sz w:val="24"/>
              </w:rPr>
            </w:pPr>
            <w:r w:rsidRPr="00713DD6">
              <w:rPr>
                <w:rFonts w:ascii="宋体" w:hAnsi="宋体" w:hint="eastAsia"/>
                <w:b/>
                <w:color w:val="000000"/>
                <w:sz w:val="24"/>
              </w:rPr>
              <w:t>数据管理平台</w:t>
            </w:r>
          </w:p>
          <w:p w:rsidR="00326994" w:rsidRPr="00713DD6" w:rsidRDefault="00326994" w:rsidP="005E3EBC">
            <w:pPr>
              <w:spacing w:line="360" w:lineRule="auto"/>
              <w:jc w:val="center"/>
              <w:rPr>
                <w:rFonts w:ascii="宋体" w:hAnsi="宋体" w:hint="eastAsia"/>
                <w:b/>
                <w:sz w:val="24"/>
              </w:rPr>
            </w:pPr>
            <w:r w:rsidRPr="00713DD6">
              <w:rPr>
                <w:rFonts w:ascii="宋体" w:hAnsi="宋体" w:hint="eastAsia"/>
                <w:b/>
                <w:color w:val="000000"/>
                <w:sz w:val="24"/>
              </w:rPr>
              <w:t>相应编号</w:t>
            </w:r>
          </w:p>
        </w:tc>
      </w:tr>
      <w:tr w:rsidR="00326994" w:rsidRPr="00713DD6" w:rsidTr="005E3EBC">
        <w:trPr>
          <w:trHeight w:val="1125"/>
          <w:jc w:val="center"/>
        </w:trPr>
        <w:tc>
          <w:tcPr>
            <w:tcW w:w="917" w:type="dxa"/>
            <w:vMerge w:val="restart"/>
            <w:shd w:val="clear" w:color="auto" w:fill="auto"/>
            <w:vAlign w:val="center"/>
          </w:tcPr>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 xml:space="preserve">1 </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体系</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总体</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构架</w:t>
            </w:r>
          </w:p>
        </w:tc>
        <w:tc>
          <w:tcPr>
            <w:tcW w:w="877" w:type="dxa"/>
            <w:vMerge w:val="restart"/>
            <w:shd w:val="clear" w:color="auto" w:fill="auto"/>
            <w:vAlign w:val="center"/>
          </w:tcPr>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1.1</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质量</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保证</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理念</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质量目标</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与定位</w:t>
            </w:r>
          </w:p>
        </w:tc>
        <w:tc>
          <w:tcPr>
            <w:tcW w:w="4593" w:type="dxa"/>
            <w:shd w:val="clear" w:color="auto" w:fill="auto"/>
            <w:vAlign w:val="center"/>
          </w:tcPr>
          <w:p w:rsidR="00326994"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学校发展目标定位是否科学明确；</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人才培养目标、规格是否符合区域经济和社会发展要求，是否符合学生全面发展要求；质量保证目标与学校发展目标、人才培养目标一致性、达成度。</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1.3/7</w:t>
            </w:r>
          </w:p>
        </w:tc>
      </w:tr>
      <w:tr w:rsidR="00326994" w:rsidRPr="00713DD6" w:rsidTr="005E3EBC">
        <w:trPr>
          <w:trHeight w:val="741"/>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质量保证体系建设规划是否科学明晰、符合实际且具有可操作性；实际执行效果是否明显。</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1.3/7</w:t>
            </w:r>
          </w:p>
        </w:tc>
      </w:tr>
      <w:tr w:rsidR="00326994" w:rsidRPr="00713DD6" w:rsidTr="005E3EBC">
        <w:trPr>
          <w:trHeight w:val="807"/>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质量文化</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师生质量意识，对学校质量理念的认同度；质量保证全员参与程度；质量文化氛围；持续改进质量的制度设计是否科学有效，是否实现持续改进。</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2.2/8</w:t>
            </w:r>
          </w:p>
        </w:tc>
      </w:tr>
      <w:tr w:rsidR="00326994" w:rsidRPr="00713DD6" w:rsidTr="005E3EBC">
        <w:trPr>
          <w:trHeight w:val="745"/>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1.2</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组织</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构架</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质量保证机构与分工</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学校、院系各层面质量保证机构、岗位设置是否科学合理，分工与职责权限是否明确。</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w:t>
            </w:r>
          </w:p>
        </w:tc>
      </w:tr>
      <w:tr w:rsidR="00326994" w:rsidRPr="00713DD6" w:rsidTr="005E3EBC">
        <w:trPr>
          <w:trHeight w:val="1094"/>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队伍</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质量保证队伍建设是否符合质量保证体系建设规划要求；人员配备是否符合岗位职责要求；对质量保证机构、人员是否有考核标准与考核制度；考核机制是否严格规范；能否实现持续改进。</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8.2/8.6</w:t>
            </w:r>
          </w:p>
        </w:tc>
      </w:tr>
      <w:tr w:rsidR="00326994" w:rsidRPr="00713DD6" w:rsidTr="005E3EBC">
        <w:trPr>
          <w:trHeight w:val="867"/>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1.3</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制度</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构架</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制度</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学校、院系、专业、课程、教师、学生层面的质量保证制度是否具有系统性、完整性与可操作性。</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8.1</w:t>
            </w:r>
          </w:p>
        </w:tc>
      </w:tr>
      <w:tr w:rsidR="00326994" w:rsidRPr="00713DD6" w:rsidTr="005E3EBC">
        <w:trPr>
          <w:trHeight w:val="1371"/>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执行与改进</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质量保证制度落实情况与改进措施是否具体务实；质量保证制度是否不断改进和完善；是否定期发布质量年度报告，质量年度报告结构是否规范、数据是否准确；院（系）、专业自我诊改是否已成常态。</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8.7</w:t>
            </w:r>
          </w:p>
        </w:tc>
      </w:tr>
      <w:tr w:rsidR="00326994" w:rsidRPr="00713DD6" w:rsidTr="005E3EBC">
        <w:trPr>
          <w:trHeight w:val="1449"/>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1.4</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信息</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系统</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信息采集与管理</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是否重视高职院校人才培养工作状态数据采集与管理平台建设；人财物是否有保障，管理是否到位，运行是否良好；是否建立信息采集与平台管理工作制度，数据采集是否实时、准确、完整。</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3.4/8.1</w:t>
            </w:r>
          </w:p>
        </w:tc>
      </w:tr>
      <w:tr w:rsidR="00326994" w:rsidRPr="00713DD6" w:rsidTr="005E3EBC">
        <w:trPr>
          <w:trHeight w:val="685"/>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信息应用</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是否运用平台进行日常管理和教学质量过程监控，各级用户是否定期开展数据分析，形成常态化的信息反馈诊断分析与改进机制。</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3.4</w:t>
            </w:r>
          </w:p>
        </w:tc>
      </w:tr>
      <w:tr w:rsidR="00326994" w:rsidRPr="00713DD6" w:rsidTr="005E3EBC">
        <w:trPr>
          <w:trHeight w:val="710"/>
          <w:jc w:val="center"/>
        </w:trPr>
        <w:tc>
          <w:tcPr>
            <w:tcW w:w="917" w:type="dxa"/>
            <w:vMerge w:val="restart"/>
            <w:shd w:val="clear" w:color="auto" w:fill="auto"/>
            <w:vAlign w:val="center"/>
          </w:tcPr>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2</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专业</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质量</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保证</w:t>
            </w: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2.1</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专业</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规划制定</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与实施</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专业建设规划是否符合学校发展实际，是否可行；规划实施情况如何，专业机构是否不断优化。</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1.3/7.1-7.6/9.2</w:t>
            </w:r>
          </w:p>
        </w:tc>
      </w:tr>
      <w:tr w:rsidR="00326994" w:rsidRPr="00713DD6" w:rsidTr="005E3EBC">
        <w:trPr>
          <w:trHeight w:val="766"/>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目标与标准</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有无明确的专业建设目标和标准；专业人才培养方案是否规范、科学、先进并不断优化。</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7.1/7.3/7.4</w:t>
            </w:r>
          </w:p>
        </w:tc>
      </w:tr>
      <w:tr w:rsidR="00326994" w:rsidRPr="00713DD6" w:rsidTr="005E3EBC">
        <w:trPr>
          <w:trHeight w:val="727"/>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条件保障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新增专业设置程序是否规范；专业建设条件（经费、师资、实验实训条件）是否有明确的保障措施。</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3.4/4/5.1/5.2</w:t>
            </w:r>
          </w:p>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6/7.4/7.5</w:t>
            </w:r>
          </w:p>
        </w:tc>
      </w:tr>
      <w:tr w:rsidR="00326994" w:rsidRPr="00713DD6" w:rsidTr="005E3EBC">
        <w:trPr>
          <w:trHeight w:val="1098"/>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2.2</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专业</w:t>
            </w:r>
          </w:p>
          <w:p w:rsidR="00326994" w:rsidRPr="00713DD6" w:rsidRDefault="00326994" w:rsidP="005E3EBC">
            <w:pPr>
              <w:spacing w:line="360" w:lineRule="auto"/>
              <w:rPr>
                <w:rFonts w:ascii="宋体" w:hAnsi="宋体" w:hint="eastAsia"/>
                <w:color w:val="000000"/>
                <w:sz w:val="24"/>
                <w:highlight w:val="yellow"/>
              </w:rPr>
            </w:pPr>
            <w:r w:rsidRPr="00713DD6">
              <w:rPr>
                <w:rFonts w:ascii="宋体" w:hAnsi="宋体" w:hint="eastAsia"/>
                <w:color w:val="000000"/>
                <w:sz w:val="24"/>
              </w:rPr>
              <w:t>诊改</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诊改制度</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与运行</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学校内部是否建立常态化的专业诊改机制；是否能够促成校内专业设置随产业发展动态调整。</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3.4/8.1/8.7/9.1/9.2</w:t>
            </w:r>
          </w:p>
        </w:tc>
      </w:tr>
      <w:tr w:rsidR="00326994" w:rsidRPr="00713DD6" w:rsidTr="005E3EBC">
        <w:trPr>
          <w:trHeight w:val="1140"/>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诊改效果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诊改成效如何，人才培养质量是否不断提高；校企融合程度、专业服务社会能力是否不断提升；品牌（特色/重点）专业（群）建设成效、辐射影响力是否不断增强。</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smartTag w:uri="urn:schemas-microsoft-com:office:smarttags" w:element="chsdate">
              <w:smartTagPr>
                <w:attr w:name="IsROCDate" w:val="False"/>
                <w:attr w:name="IsLunarDate" w:val="False"/>
                <w:attr w:name="Day" w:val="6"/>
                <w:attr w:name="Month" w:val="5"/>
                <w:attr w:name="Year" w:val="2004"/>
              </w:smartTagPr>
              <w:r w:rsidRPr="00713DD6">
                <w:rPr>
                  <w:rFonts w:ascii="宋体" w:hAnsi="宋体" w:hint="eastAsia"/>
                  <w:color w:val="000000"/>
                  <w:sz w:val="24"/>
                </w:rPr>
                <w:t>4/5/6</w:t>
              </w:r>
            </w:smartTag>
            <w:r w:rsidRPr="00713DD6">
              <w:rPr>
                <w:rFonts w:ascii="宋体" w:hAnsi="宋体" w:hint="eastAsia"/>
                <w:color w:val="000000"/>
                <w:sz w:val="24"/>
              </w:rPr>
              <w:t>/7/9</w:t>
            </w:r>
          </w:p>
        </w:tc>
      </w:tr>
      <w:tr w:rsidR="00326994" w:rsidRPr="00713DD6" w:rsidTr="005E3EBC">
        <w:trPr>
          <w:trHeight w:val="770"/>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外部诊断（评估）结论应用</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是否积极参加外部专业诊断（或评估、认证）；外部诊断（评估）结论是否得到有效应用，对学校自诊自改是否起到良好促进作用。</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smartTag w:uri="urn:schemas-microsoft-com:office:smarttags" w:element="chsdate">
              <w:smartTagPr>
                <w:attr w:name="IsROCDate" w:val="False"/>
                <w:attr w:name="IsLunarDate" w:val="False"/>
                <w:attr w:name="Day" w:val="6"/>
                <w:attr w:name="Month" w:val="5"/>
                <w:attr w:name="Year" w:val="2004"/>
              </w:smartTagPr>
              <w:r w:rsidRPr="00713DD6">
                <w:rPr>
                  <w:rFonts w:ascii="宋体" w:hAnsi="宋体" w:hint="eastAsia"/>
                  <w:color w:val="000000"/>
                  <w:sz w:val="24"/>
                </w:rPr>
                <w:t>4/5/6</w:t>
              </w:r>
            </w:smartTag>
            <w:r w:rsidRPr="00713DD6">
              <w:rPr>
                <w:rFonts w:ascii="宋体" w:hAnsi="宋体" w:hint="eastAsia"/>
                <w:color w:val="000000"/>
                <w:sz w:val="24"/>
              </w:rPr>
              <w:t>/7/9</w:t>
            </w:r>
          </w:p>
        </w:tc>
      </w:tr>
      <w:tr w:rsidR="00326994" w:rsidRPr="00713DD6" w:rsidTr="005E3EBC">
        <w:trPr>
          <w:trHeight w:val="566"/>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2.3</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课程</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保证</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课程建设</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课程建设规划是否科学合理；是否具有可行性与可操作性。</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7.2/7.5</w:t>
            </w:r>
          </w:p>
        </w:tc>
      </w:tr>
      <w:tr w:rsidR="00326994" w:rsidRPr="00713DD6" w:rsidTr="005E3EBC">
        <w:trPr>
          <w:trHeight w:val="856"/>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目标与标准</w:t>
            </w:r>
          </w:p>
        </w:tc>
        <w:tc>
          <w:tcPr>
            <w:tcW w:w="4593" w:type="dxa"/>
            <w:shd w:val="clear" w:color="auto" w:fill="auto"/>
            <w:vAlign w:val="center"/>
          </w:tcPr>
          <w:p w:rsidR="00326994" w:rsidRDefault="00326994" w:rsidP="005E3EBC">
            <w:pPr>
              <w:spacing w:line="360" w:lineRule="auto"/>
              <w:rPr>
                <w:rFonts w:ascii="宋体" w:hAnsi="宋体" w:hint="eastAsia"/>
                <w:color w:val="000000"/>
                <w:sz w:val="24"/>
              </w:rPr>
            </w:pPr>
            <w:r w:rsidRPr="00713DD6">
              <w:rPr>
                <w:rFonts w:ascii="宋体" w:hAnsi="宋体" w:hint="eastAsia"/>
                <w:color w:val="000000"/>
                <w:sz w:val="24"/>
              </w:rPr>
              <w:t>课程建设规划目标达成度；</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课程标准是否具备科学性、先进性、规范性与完备性。</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7.2/7.3</w:t>
            </w:r>
          </w:p>
        </w:tc>
      </w:tr>
      <w:tr w:rsidR="00326994" w:rsidRPr="00713DD6" w:rsidTr="005E3EBC">
        <w:trPr>
          <w:trHeight w:val="1220"/>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诊改制度实施与效果</w:t>
            </w:r>
          </w:p>
        </w:tc>
        <w:tc>
          <w:tcPr>
            <w:tcW w:w="4593" w:type="dxa"/>
            <w:shd w:val="clear" w:color="auto" w:fill="auto"/>
            <w:vAlign w:val="center"/>
          </w:tcPr>
          <w:p w:rsidR="00326994" w:rsidRDefault="00326994" w:rsidP="005E3EBC">
            <w:pPr>
              <w:spacing w:line="360" w:lineRule="auto"/>
              <w:rPr>
                <w:rFonts w:ascii="宋体" w:hAnsi="宋体" w:hint="eastAsia"/>
                <w:color w:val="000000"/>
                <w:sz w:val="24"/>
              </w:rPr>
            </w:pPr>
            <w:r w:rsidRPr="00713DD6">
              <w:rPr>
                <w:rFonts w:ascii="宋体" w:hAnsi="宋体" w:hint="eastAsia"/>
                <w:color w:val="000000"/>
                <w:sz w:val="24"/>
              </w:rPr>
              <w:t>校内是否开展对课程建设水平和教学质量的诊改，形成常态化的课程质量保证机制；</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是否对提高课程建设水平和教学质量产生明显的推进作用。</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3.4/7.2/8.1/8.2</w:t>
            </w:r>
          </w:p>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8.5/8.6/8.7</w:t>
            </w:r>
          </w:p>
        </w:tc>
      </w:tr>
      <w:tr w:rsidR="00326994" w:rsidRPr="00713DD6" w:rsidTr="005E3EBC">
        <w:trPr>
          <w:trHeight w:val="938"/>
          <w:jc w:val="center"/>
        </w:trPr>
        <w:tc>
          <w:tcPr>
            <w:tcW w:w="917" w:type="dxa"/>
            <w:vMerge w:val="restart"/>
            <w:shd w:val="clear" w:color="auto" w:fill="auto"/>
            <w:vAlign w:val="center"/>
          </w:tcPr>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3</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师资</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质量</w:t>
            </w:r>
          </w:p>
          <w:p w:rsidR="00326994" w:rsidRPr="00713DD6" w:rsidRDefault="00326994" w:rsidP="005E3EBC">
            <w:pPr>
              <w:spacing w:line="360" w:lineRule="auto"/>
              <w:jc w:val="center"/>
              <w:rPr>
                <w:rFonts w:ascii="宋体" w:hAnsi="宋体" w:hint="eastAsia"/>
                <w:color w:val="000000"/>
                <w:sz w:val="24"/>
              </w:rPr>
            </w:pPr>
            <w:r w:rsidRPr="00713DD6">
              <w:rPr>
                <w:rFonts w:ascii="宋体" w:hAnsi="宋体" w:hint="eastAsia"/>
                <w:color w:val="000000"/>
                <w:sz w:val="24"/>
              </w:rPr>
              <w:t>保证</w:t>
            </w: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3.1</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师资</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队伍</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规划制定</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学校、院系、专业等层面师资队伍建设规划的科学性、一致性和可行性；规划目标达成度。</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6.1/6.2/6.3/6.4</w:t>
            </w:r>
          </w:p>
        </w:tc>
      </w:tr>
      <w:tr w:rsidR="00326994" w:rsidRPr="00713DD6" w:rsidTr="005E3EBC">
        <w:trPr>
          <w:trHeight w:val="748"/>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实施保障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是否能为师资建设规划目标的实现提供必需的外部环境、组织管理、资源支撑、经费等保障。</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5.2/7.1/7.2/8.1/</w:t>
            </w:r>
          </w:p>
        </w:tc>
      </w:tr>
      <w:tr w:rsidR="00326994" w:rsidRPr="00713DD6" w:rsidTr="005E3EBC">
        <w:trPr>
          <w:trHeight w:val="813"/>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3.2</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师资</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工作</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诊改制度</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是否制定专兼职教师、专业带头人与骨干教师聘用资格标准；是否开展对师资队伍建设成效的诊改，形成常态化的师资质量保证机制。</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6.1/6.2/6.3/6.4/7.2</w:t>
            </w:r>
          </w:p>
        </w:tc>
      </w:tr>
      <w:tr w:rsidR="00326994" w:rsidRPr="00713DD6" w:rsidTr="005E3EBC">
        <w:trPr>
          <w:trHeight w:val="1134"/>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实施效果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教师质量意识是否得到提升；教学改革主动性是否得到提高；师资队伍数量、结构、水平、稳定性、社会服务能力等是否得到持续改善；学生满意度是否得到持续提升。</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6.1/6.2/6.3/6.4/8.7</w:t>
            </w:r>
          </w:p>
        </w:tc>
      </w:tr>
      <w:tr w:rsidR="00326994" w:rsidRPr="00713DD6" w:rsidTr="005E3EBC">
        <w:trPr>
          <w:trHeight w:val="1122"/>
          <w:jc w:val="center"/>
        </w:trPr>
        <w:tc>
          <w:tcPr>
            <w:tcW w:w="91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 xml:space="preserve">4 </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学生</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全面</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发展</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保证</w:t>
            </w: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4.1</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育人</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体系</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育人规划</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是否制定学生综合素质标准；学生素质教育方案制定是否科学，培养目标定位是否准确；是否因材施教，注重分类培养与分层教学；是否实施全员全过程全方位育人，加强创意、创新、创业教育。</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5.2/8.3/8.4</w:t>
            </w:r>
          </w:p>
        </w:tc>
      </w:tr>
      <w:tr w:rsidR="00326994" w:rsidRPr="00713DD6" w:rsidTr="005E3EBC">
        <w:trPr>
          <w:trHeight w:val="563"/>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诊改制度</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是否实施对育人部门工作及效果的诊改。</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8.1</w:t>
            </w:r>
          </w:p>
        </w:tc>
      </w:tr>
      <w:tr w:rsidR="00326994" w:rsidRPr="00713DD6" w:rsidTr="005E3EBC">
        <w:trPr>
          <w:trHeight w:val="923"/>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实施与效果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育人工作是否已形成常态化诊改机制；育人目标达成度；学生自主学习能力、主动学习积极性、职业能力和创新创业能力是否得到提高。</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2.2/3/7.2/9.2</w:t>
            </w:r>
          </w:p>
        </w:tc>
      </w:tr>
      <w:tr w:rsidR="00326994" w:rsidRPr="00713DD6" w:rsidTr="005E3EBC">
        <w:trPr>
          <w:trHeight w:val="1058"/>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4.2</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成长</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环境</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安全与生活保障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1414"/>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特殊学生群体服务与资助</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5.2/8.8</w:t>
            </w:r>
          </w:p>
        </w:tc>
      </w:tr>
      <w:tr w:rsidR="00326994" w:rsidRPr="00713DD6" w:rsidTr="005E3EBC">
        <w:trPr>
          <w:trHeight w:val="840"/>
          <w:jc w:val="center"/>
        </w:trPr>
        <w:tc>
          <w:tcPr>
            <w:tcW w:w="91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5</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 xml:space="preserve"> 体系运行</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效果</w:t>
            </w: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5.1</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外部</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环境</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改进</w:t>
            </w: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政策环境</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能否促进社会资源引入、共享渠道的拓展；政策环境是否利于学校的质量保证体系和人才培养质量持续改进与完善。</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836"/>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资源环境</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是否能够促进校内办学资源的不断优化；学校资源环境能否促进质量保证体系和人才培养质量持续改进与完善，改善学校的办学条件。</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835"/>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合作发展环境</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学校自主诊改</w:t>
            </w:r>
            <w:r>
              <w:rPr>
                <w:rFonts w:ascii="宋体" w:hAnsi="宋体" w:hint="eastAsia"/>
                <w:color w:val="000000"/>
                <w:sz w:val="24"/>
              </w:rPr>
              <w:t>机制是否利于政校合作、校企合作、校校合作的不断优化；合作发展</w:t>
            </w:r>
            <w:r w:rsidRPr="00713DD6">
              <w:rPr>
                <w:rFonts w:ascii="宋体" w:hAnsi="宋体" w:hint="eastAsia"/>
                <w:color w:val="000000"/>
                <w:sz w:val="24"/>
              </w:rPr>
              <w:t>成效与作用是否不断呈现。</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7.5/9.3</w:t>
            </w:r>
          </w:p>
        </w:tc>
      </w:tr>
      <w:tr w:rsidR="00326994" w:rsidRPr="00713DD6" w:rsidTr="005E3EBC">
        <w:trPr>
          <w:trHeight w:val="1413"/>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5.2</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事故</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管控</w:t>
            </w: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管控制度</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8.1</w:t>
            </w:r>
          </w:p>
        </w:tc>
      </w:tr>
      <w:tr w:rsidR="00326994" w:rsidRPr="00713DD6" w:rsidTr="005E3EBC">
        <w:trPr>
          <w:trHeight w:val="838"/>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发生率</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及影响</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学校质量事故的发生率、影响程度；处理安全事故、群体性事件的速度与能力；学校质量事故与投诉发生率是否逐年减少。</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270"/>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预警机制</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是否建立过程信息监测分析机制与质量事故预警制度；</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是否有突发性安全事故、群体性事件应对工作预案；</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是否有近三年质量事故分析报告及其反馈处理效果报告；</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r w:rsidRPr="00713DD6">
              <w:rPr>
                <w:rFonts w:ascii="宋体" w:hAnsi="宋体" w:hint="eastAsia"/>
                <w:color w:val="000000"/>
                <w:sz w:val="24"/>
              </w:rPr>
              <w:t>8.1</w:t>
            </w:r>
          </w:p>
        </w:tc>
      </w:tr>
      <w:tr w:rsidR="00326994" w:rsidRPr="00713DD6" w:rsidTr="005E3EBC">
        <w:trPr>
          <w:trHeight w:val="892"/>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val="restart"/>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5.3</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质量</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保证</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效果</w:t>
            </w: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规划体系</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建设及效果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各项规划是否完备、体系是否科学，实施是否顺利，目标达成度如何。</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847"/>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标准体系</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建设及效果</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专业、课程、师资、学生发展质量标准是否完备、先进、成体系；能否在诊改过程中不断调整优化；社会认可度如何。</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886"/>
          <w:jc w:val="center"/>
        </w:trPr>
        <w:tc>
          <w:tcPr>
            <w:tcW w:w="91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vMerge/>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1498" w:type="dxa"/>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诊改机制</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建设及效果</w:t>
            </w:r>
          </w:p>
        </w:tc>
        <w:tc>
          <w:tcPr>
            <w:tcW w:w="4593" w:type="dxa"/>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内部质量保证体系是否日趋完备；持续改进的机制是否呈常态化并步入良性循环，人才培养质量是否得到持续提升。</w:t>
            </w:r>
          </w:p>
        </w:tc>
        <w:tc>
          <w:tcPr>
            <w:tcW w:w="2067" w:type="dxa"/>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r w:rsidR="00326994" w:rsidRPr="00713DD6" w:rsidTr="005E3EBC">
        <w:trPr>
          <w:trHeight w:val="787"/>
          <w:jc w:val="center"/>
        </w:trPr>
        <w:tc>
          <w:tcPr>
            <w:tcW w:w="917" w:type="dxa"/>
            <w:vMerge/>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p>
        </w:tc>
        <w:tc>
          <w:tcPr>
            <w:tcW w:w="877"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5.4</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体系</w:t>
            </w:r>
          </w:p>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特色</w:t>
            </w:r>
          </w:p>
        </w:tc>
        <w:tc>
          <w:tcPr>
            <w:tcW w:w="1498" w:type="dxa"/>
            <w:tcBorders>
              <w:bottom w:val="single" w:sz="4" w:space="0" w:color="auto"/>
            </w:tcBorders>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学校质量保证体系特色</w:t>
            </w:r>
          </w:p>
        </w:tc>
        <w:tc>
          <w:tcPr>
            <w:tcW w:w="4593" w:type="dxa"/>
            <w:tcBorders>
              <w:bottom w:val="single" w:sz="4" w:space="0" w:color="auto"/>
            </w:tcBorders>
            <w:shd w:val="clear" w:color="auto" w:fill="auto"/>
            <w:vAlign w:val="center"/>
          </w:tcPr>
          <w:p w:rsidR="00326994" w:rsidRPr="00713DD6" w:rsidRDefault="00326994" w:rsidP="005E3EBC">
            <w:pPr>
              <w:spacing w:line="360" w:lineRule="auto"/>
              <w:rPr>
                <w:rFonts w:ascii="宋体" w:hAnsi="宋体" w:hint="eastAsia"/>
                <w:color w:val="000000"/>
                <w:sz w:val="24"/>
              </w:rPr>
            </w:pPr>
            <w:r w:rsidRPr="00713DD6">
              <w:rPr>
                <w:rFonts w:ascii="宋体" w:hAnsi="宋体" w:hint="eastAsia"/>
                <w:color w:val="000000"/>
                <w:sz w:val="24"/>
              </w:rPr>
              <w:t>学校自身质量保证体系能否形成特色，应用效果好，并能发挥辐射与影响作用。</w:t>
            </w:r>
          </w:p>
        </w:tc>
        <w:tc>
          <w:tcPr>
            <w:tcW w:w="2067" w:type="dxa"/>
            <w:tcBorders>
              <w:bottom w:val="single" w:sz="4" w:space="0" w:color="auto"/>
            </w:tcBorders>
            <w:shd w:val="clear" w:color="auto" w:fill="auto"/>
            <w:vAlign w:val="center"/>
          </w:tcPr>
          <w:p w:rsidR="00326994" w:rsidRPr="00713DD6" w:rsidRDefault="00326994" w:rsidP="005E3EBC">
            <w:pPr>
              <w:spacing w:line="360" w:lineRule="auto"/>
              <w:ind w:left="420"/>
              <w:jc w:val="left"/>
              <w:rPr>
                <w:rFonts w:ascii="宋体" w:hAnsi="宋体" w:hint="eastAsia"/>
                <w:color w:val="000000"/>
                <w:sz w:val="24"/>
              </w:rPr>
            </w:pPr>
          </w:p>
        </w:tc>
      </w:tr>
    </w:tbl>
    <w:p w:rsidR="00326994" w:rsidRPr="00713DD6" w:rsidRDefault="00326994" w:rsidP="00326994">
      <w:pPr>
        <w:snapToGrid w:val="0"/>
        <w:spacing w:beforeLines="50"/>
        <w:ind w:firstLineChars="200" w:firstLine="480"/>
        <w:rPr>
          <w:rFonts w:ascii="宋体" w:hAnsi="宋体" w:hint="eastAsia"/>
          <w:color w:val="000000"/>
          <w:sz w:val="24"/>
        </w:rPr>
      </w:pPr>
      <w:r w:rsidRPr="00713DD6">
        <w:rPr>
          <w:rFonts w:ascii="宋体" w:hAnsi="宋体" w:hint="eastAsia"/>
          <w:color w:val="000000"/>
          <w:sz w:val="24"/>
        </w:rPr>
        <w:t>注：1．本表设5个诊断项目，15个诊断要素，37个诊断点。</w:t>
      </w:r>
    </w:p>
    <w:p w:rsidR="00326994" w:rsidRPr="00713DD6" w:rsidRDefault="00326994" w:rsidP="00326994">
      <w:pPr>
        <w:snapToGrid w:val="0"/>
        <w:spacing w:beforeLines="50"/>
        <w:ind w:firstLineChars="400" w:firstLine="960"/>
        <w:rPr>
          <w:rFonts w:ascii="宋体" w:hAnsi="宋体"/>
          <w:color w:val="000000"/>
          <w:sz w:val="24"/>
        </w:rPr>
      </w:pPr>
      <w:r w:rsidRPr="00713DD6">
        <w:rPr>
          <w:rFonts w:ascii="宋体" w:hAnsi="宋体" w:hint="eastAsia"/>
          <w:color w:val="000000"/>
          <w:sz w:val="24"/>
        </w:rPr>
        <w:t>2．“数据管理平台相应编号”所列的各指标编号，起引导作用，不是规定或标准。</w:t>
      </w:r>
    </w:p>
    <w:p w:rsidR="00326994" w:rsidRDefault="00326994" w:rsidP="00326994">
      <w:pPr>
        <w:spacing w:line="480" w:lineRule="auto"/>
        <w:rPr>
          <w:rFonts w:hint="eastAsia"/>
          <w:b/>
          <w:color w:val="000000"/>
        </w:rPr>
      </w:pPr>
    </w:p>
    <w:p w:rsidR="00326994" w:rsidRPr="00B57FC3" w:rsidRDefault="00326994" w:rsidP="00326994">
      <w:pPr>
        <w:spacing w:line="480" w:lineRule="auto"/>
        <w:jc w:val="right"/>
        <w:rPr>
          <w:rFonts w:hint="eastAsia"/>
          <w:b/>
          <w:color w:val="000000"/>
        </w:rPr>
      </w:pPr>
      <w:r w:rsidRPr="00A66EFA">
        <w:rPr>
          <w:rFonts w:ascii="宋体" w:hAnsi="宋体" w:cs="Arial" w:hint="eastAsia"/>
          <w:color w:val="000000"/>
          <w:kern w:val="0"/>
          <w:sz w:val="24"/>
        </w:rPr>
        <w:t>信息来源：中华人民共和国教育部</w:t>
      </w:r>
    </w:p>
    <w:p w:rsidR="00903148" w:rsidRPr="00326994" w:rsidRDefault="00326994" w:rsidP="00326994">
      <w:r w:rsidRPr="00E14D36">
        <w:rPr>
          <w:rStyle w:val="a5"/>
          <w:rFonts w:ascii="微软雅黑" w:eastAsia="微软雅黑" w:hAnsi="微软雅黑"/>
          <w:sz w:val="23"/>
          <w:szCs w:val="23"/>
        </w:rPr>
        <w:t>http://www.moe.gov.cn/s78/A07/A07_gggs/A07_sjhj/201512/t20151230_226483.html</w:t>
      </w:r>
    </w:p>
    <w:sectPr w:rsidR="00903148" w:rsidRPr="00326994" w:rsidSect="008433C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36F" w:rsidRDefault="00DC236F" w:rsidP="00375821">
      <w:r>
        <w:separator/>
      </w:r>
    </w:p>
  </w:endnote>
  <w:endnote w:type="continuationSeparator" w:id="1">
    <w:p w:rsidR="00DC236F" w:rsidRDefault="00DC236F"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94" w:rsidRDefault="00326994" w:rsidP="0008061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6994" w:rsidRDefault="00326994" w:rsidP="0008061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94" w:rsidRDefault="00326994" w:rsidP="0008061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26994" w:rsidRDefault="00326994" w:rsidP="00080611">
    <w:pPr>
      <w:pStyle w:val="a4"/>
      <w:ind w:left="5250" w:right="360"/>
      <w:jc w:val="center"/>
    </w:pPr>
  </w:p>
  <w:p w:rsidR="00326994" w:rsidRDefault="00326994" w:rsidP="0083563B">
    <w:pPr>
      <w:pStyle w:val="a4"/>
      <w:ind w:left="525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8433C8">
        <w:pPr>
          <w:pStyle w:val="a4"/>
          <w:jc w:val="center"/>
        </w:pPr>
        <w:fldSimple w:instr=" PAGE   \* MERGEFORMAT ">
          <w:r w:rsidR="00326994" w:rsidRPr="00326994">
            <w:rPr>
              <w:noProof/>
              <w:lang w:val="zh-CN"/>
            </w:rPr>
            <w:t>5</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36F" w:rsidRDefault="00DC236F" w:rsidP="00375821">
      <w:r>
        <w:separator/>
      </w:r>
    </w:p>
  </w:footnote>
  <w:footnote w:type="continuationSeparator" w:id="1">
    <w:p w:rsidR="00DC236F" w:rsidRDefault="00DC236F" w:rsidP="00375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94" w:rsidRDefault="00326994" w:rsidP="0099048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163A67"/>
    <w:rsid w:val="00326994"/>
    <w:rsid w:val="00375821"/>
    <w:rsid w:val="005C7CD0"/>
    <w:rsid w:val="008433C8"/>
    <w:rsid w:val="00903148"/>
    <w:rsid w:val="00DC23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5</cp:revision>
  <dcterms:created xsi:type="dcterms:W3CDTF">2016-03-24T03:43:00Z</dcterms:created>
  <dcterms:modified xsi:type="dcterms:W3CDTF">2016-03-24T03:51:00Z</dcterms:modified>
</cp:coreProperties>
</file>